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82D" w:rsidRPr="0031382D" w:rsidRDefault="0031382D" w:rsidP="0031382D">
      <w:pPr>
        <w:rPr>
          <w:b/>
          <w:bCs/>
          <w:i/>
          <w:iCs/>
          <w:sz w:val="40"/>
        </w:rPr>
      </w:pPr>
      <w:r w:rsidRPr="0031382D">
        <w:rPr>
          <w:b/>
          <w:bCs/>
          <w:i/>
          <w:iCs/>
          <w:sz w:val="40"/>
        </w:rPr>
        <w:t>Chardonnay</w:t>
      </w:r>
    </w:p>
    <w:p w:rsidR="0031382D" w:rsidRPr="0031382D" w:rsidRDefault="0031382D" w:rsidP="0031382D">
      <w:r w:rsidRPr="0031382D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-321945</wp:posOffset>
            </wp:positionV>
            <wp:extent cx="1562100" cy="5715000"/>
            <wp:effectExtent l="19050" t="0" r="0" b="0"/>
            <wp:wrapSquare wrapText="bothSides"/>
            <wp:docPr id="6" name="Picture 6" descr="http://www.brankowines.com/wp-content/themes/branko/img/vini/Chardona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brankowines.com/wp-content/themes/branko/img/vini/Chardona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382D" w:rsidRPr="0031382D" w:rsidRDefault="0031382D" w:rsidP="0031382D">
      <w:r w:rsidRPr="0031382D">
        <w:t>Igor brings out the best in his Chardonnay by fermenting and maturing about 30% of the wine in mid-sized oak containers. The wood imbues the wine with a complex swath of aromatics that fold into varietal fragrances of bananas and pineapples. Bottle ageing brings satisfyingly cushiony softness and robust structure. This is a wine with serious character, capable of significant sensory development in the second and third years after harvest.</w:t>
      </w:r>
    </w:p>
    <w:p w:rsidR="00E552DA" w:rsidRDefault="00E552DA"/>
    <w:sectPr w:rsidR="00E552DA" w:rsidSect="0031382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1382D"/>
    <w:rsid w:val="0031382D"/>
    <w:rsid w:val="009E7D6C"/>
    <w:rsid w:val="00E55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2D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8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9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>Microsoft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Hurley</dc:creator>
  <cp:lastModifiedBy>Lindsay Hurley</cp:lastModifiedBy>
  <cp:revision>1</cp:revision>
  <dcterms:created xsi:type="dcterms:W3CDTF">2014-10-13T18:04:00Z</dcterms:created>
  <dcterms:modified xsi:type="dcterms:W3CDTF">2014-10-13T18:05:00Z</dcterms:modified>
</cp:coreProperties>
</file>